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F1AC" w14:textId="77777777" w:rsidR="003F478A" w:rsidRPr="00736174" w:rsidRDefault="001218AF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54B9072F" w14:textId="42ACA79F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922EAF">
        <w:t>7</w:t>
      </w:r>
      <w:r w:rsidR="003C1280">
        <w:t xml:space="preserve"> </w:t>
      </w:r>
      <w:r w:rsidR="00922EAF">
        <w:t xml:space="preserve">         </w:t>
      </w:r>
      <w:r w:rsidR="003C1280">
        <w:t xml:space="preserve">Subject:  </w:t>
      </w:r>
      <w:r w:rsidR="00922EAF">
        <w:t xml:space="preserve">Computing          </w:t>
      </w:r>
      <w:bookmarkStart w:id="0" w:name="_GoBack"/>
      <w:bookmarkEnd w:id="0"/>
    </w:p>
    <w:p w14:paraId="59557CA6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922"/>
        <w:gridCol w:w="1980"/>
        <w:gridCol w:w="1890"/>
        <w:gridCol w:w="1890"/>
        <w:gridCol w:w="1863"/>
        <w:gridCol w:w="1985"/>
        <w:gridCol w:w="1417"/>
        <w:gridCol w:w="1365"/>
      </w:tblGrid>
      <w:tr w:rsidR="00EC1848" w:rsidRPr="00EC1848" w14:paraId="20FA3E1C" w14:textId="77777777" w:rsidTr="00E86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F9BDFB2" w14:textId="77777777" w:rsidR="00EC1848" w:rsidRDefault="003C1280" w:rsidP="00745B31">
            <w:pPr>
              <w:pStyle w:val="TTCTText"/>
              <w:jc w:val="center"/>
            </w:pPr>
            <w:r>
              <w:t>Learning cycle</w:t>
            </w:r>
          </w:p>
          <w:p w14:paraId="59E17F03" w14:textId="77777777" w:rsidR="003C1280" w:rsidRPr="00EC1848" w:rsidRDefault="003C1280" w:rsidP="00745B31">
            <w:pPr>
              <w:pStyle w:val="TTCTText"/>
              <w:jc w:val="center"/>
            </w:pPr>
          </w:p>
        </w:tc>
        <w:tc>
          <w:tcPr>
            <w:tcW w:w="1922" w:type="dxa"/>
            <w:hideMark/>
          </w:tcPr>
          <w:p w14:paraId="3AD27DA4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980" w:type="dxa"/>
            <w:hideMark/>
          </w:tcPr>
          <w:p w14:paraId="382AD778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90" w:type="dxa"/>
          </w:tcPr>
          <w:p w14:paraId="5E98D6BB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90" w:type="dxa"/>
          </w:tcPr>
          <w:p w14:paraId="2872B05B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63" w:type="dxa"/>
          </w:tcPr>
          <w:p w14:paraId="52E46687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985" w:type="dxa"/>
          </w:tcPr>
          <w:p w14:paraId="1F3E3039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417" w:type="dxa"/>
          </w:tcPr>
          <w:p w14:paraId="2FCCB2C1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365" w:type="dxa"/>
          </w:tcPr>
          <w:p w14:paraId="5AF26ADB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8</w:t>
            </w:r>
          </w:p>
        </w:tc>
      </w:tr>
      <w:tr w:rsidR="00005745" w:rsidRPr="00EC1848" w14:paraId="007A1829" w14:textId="77777777" w:rsidTr="00E8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3B2D76E3" w14:textId="77777777" w:rsidR="00005745" w:rsidRDefault="00005745" w:rsidP="00005745">
            <w:pPr>
              <w:pStyle w:val="TTCTText"/>
            </w:pPr>
            <w:r>
              <w:t>1</w:t>
            </w:r>
          </w:p>
          <w:p w14:paraId="5A36BD94" w14:textId="77777777" w:rsidR="00745B31" w:rsidRDefault="00745B31" w:rsidP="00005745">
            <w:pPr>
              <w:pStyle w:val="TTCTText"/>
              <w:rPr>
                <w:b w:val="0"/>
              </w:rPr>
            </w:pPr>
            <w:r>
              <w:t>0</w:t>
            </w:r>
            <w:r w:rsidR="00005745">
              <w:t>5/</w:t>
            </w:r>
            <w:r>
              <w:t>0</w:t>
            </w:r>
            <w:r w:rsidR="00005745">
              <w:t xml:space="preserve">9/22 </w:t>
            </w:r>
          </w:p>
          <w:p w14:paraId="0113ABD0" w14:textId="77777777" w:rsidR="00005745" w:rsidRPr="00EC1848" w:rsidRDefault="00745B31" w:rsidP="00005745">
            <w:pPr>
              <w:pStyle w:val="TTCTText"/>
            </w:pPr>
            <w:r>
              <w:t>to</w:t>
            </w:r>
            <w:r w:rsidR="00005745">
              <w:t xml:space="preserve"> 21/10/22</w:t>
            </w:r>
          </w:p>
        </w:tc>
        <w:tc>
          <w:tcPr>
            <w:tcW w:w="1922" w:type="dxa"/>
          </w:tcPr>
          <w:p w14:paraId="6AB30441" w14:textId="77777777" w:rsidR="00005745" w:rsidRPr="00745B31" w:rsidRDefault="00005745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Digital Literacy</w:t>
            </w:r>
          </w:p>
          <w:p w14:paraId="70B72C92" w14:textId="77777777" w:rsidR="00005745" w:rsidRPr="00005745" w:rsidRDefault="00005745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05745">
              <w:rPr>
                <w:i/>
              </w:rPr>
              <w:t>Logging in to the school system &amp; emails.</w:t>
            </w:r>
            <w:r w:rsidR="00185CDD">
              <w:rPr>
                <w:i/>
              </w:rPr>
              <w:t>.</w:t>
            </w:r>
          </w:p>
        </w:tc>
        <w:tc>
          <w:tcPr>
            <w:tcW w:w="1980" w:type="dxa"/>
          </w:tcPr>
          <w:p w14:paraId="3E35C51D" w14:textId="77777777" w:rsidR="00005745" w:rsidRPr="00745B31" w:rsidRDefault="00005745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Digital Literacy</w:t>
            </w:r>
          </w:p>
          <w:p w14:paraId="2FD7CEEA" w14:textId="77777777" w:rsidR="00005745" w:rsidRPr="00005745" w:rsidRDefault="00005745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05745">
              <w:rPr>
                <w:i/>
              </w:rPr>
              <w:t>Office applications and what they are for</w:t>
            </w:r>
            <w:r w:rsidR="00185CDD">
              <w:rPr>
                <w:i/>
              </w:rPr>
              <w:t>.</w:t>
            </w:r>
          </w:p>
        </w:tc>
        <w:tc>
          <w:tcPr>
            <w:tcW w:w="1890" w:type="dxa"/>
          </w:tcPr>
          <w:p w14:paraId="0529B7A2" w14:textId="77777777" w:rsidR="00005745" w:rsidRDefault="00005745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Digital Literacy</w:t>
            </w:r>
          </w:p>
          <w:p w14:paraId="2C76866A" w14:textId="77777777" w:rsidR="00745B31" w:rsidRPr="00745B31" w:rsidRDefault="00745B31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PowerPoint to present information</w:t>
            </w:r>
            <w:r w:rsidR="00185CDD">
              <w:t>.</w:t>
            </w:r>
          </w:p>
        </w:tc>
        <w:tc>
          <w:tcPr>
            <w:tcW w:w="1890" w:type="dxa"/>
          </w:tcPr>
          <w:p w14:paraId="5A0F4BB3" w14:textId="77777777" w:rsidR="00005745" w:rsidRDefault="00005745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Digital Literacy</w:t>
            </w:r>
          </w:p>
          <w:p w14:paraId="17D7FEE7" w14:textId="77777777" w:rsidR="00745B31" w:rsidRPr="00745B31" w:rsidRDefault="00745B31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B31">
              <w:t>Adding GOOD QUALITY images, animations and transitions</w:t>
            </w:r>
            <w:r w:rsidR="00185CDD">
              <w:t>.</w:t>
            </w:r>
          </w:p>
        </w:tc>
        <w:tc>
          <w:tcPr>
            <w:tcW w:w="1863" w:type="dxa"/>
          </w:tcPr>
          <w:p w14:paraId="545A9478" w14:textId="77777777" w:rsidR="00005745" w:rsidRDefault="00005745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Digital Literacy</w:t>
            </w:r>
          </w:p>
          <w:p w14:paraId="31FEB468" w14:textId="77777777" w:rsidR="00745B31" w:rsidRPr="00745B31" w:rsidRDefault="00745B31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Completing the PPt. inc. hyperlinks</w:t>
            </w:r>
            <w:r w:rsidR="00185CDD">
              <w:t>, GIF’s and sounds.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35BDA71" w14:textId="77777777" w:rsidR="00005745" w:rsidRPr="00745B31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checkpoint week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45D7E0AA" w14:textId="77777777" w:rsidR="00005745" w:rsidRPr="00745B31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gap week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5D2BBC5" w14:textId="77777777" w:rsidR="00005745" w:rsidRPr="00EC1848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745" w:rsidRPr="00EC1848" w14:paraId="75CDB500" w14:textId="77777777" w:rsidTr="00E8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66FD9B15" w14:textId="77777777" w:rsidR="00005745" w:rsidRDefault="00005745" w:rsidP="00005745">
            <w:pPr>
              <w:pStyle w:val="TTCTText"/>
            </w:pPr>
            <w:r>
              <w:t>2</w:t>
            </w:r>
          </w:p>
          <w:p w14:paraId="2A336BB1" w14:textId="77777777" w:rsidR="00005745" w:rsidRPr="00EC1848" w:rsidRDefault="00005745" w:rsidP="00005745">
            <w:pPr>
              <w:pStyle w:val="TTCTText"/>
            </w:pPr>
            <w:r>
              <w:t>31/10/22- 22/12/22</w:t>
            </w:r>
          </w:p>
        </w:tc>
        <w:tc>
          <w:tcPr>
            <w:tcW w:w="1922" w:type="dxa"/>
          </w:tcPr>
          <w:p w14:paraId="11B73C4C" w14:textId="5BE26599" w:rsidR="00005745" w:rsidRPr="00F606A5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>What is Computing?</w:t>
            </w:r>
            <w:r w:rsidR="00F606A5">
              <w:rPr>
                <w:b/>
              </w:rPr>
              <w:br/>
            </w:r>
            <w:r w:rsidR="00F606A5" w:rsidRPr="00F606A5">
              <w:rPr>
                <w:bCs/>
                <w:i/>
                <w:iCs/>
              </w:rPr>
              <w:t>History of computing</w:t>
            </w:r>
          </w:p>
          <w:p w14:paraId="3D90DEAA" w14:textId="77777777" w:rsidR="00185CDD" w:rsidRPr="00185CDD" w:rsidRDefault="00185CDD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9BAFC4B" w14:textId="3CA696D6" w:rsidR="00005745" w:rsidRPr="00F606A5" w:rsidRDefault="00005745" w:rsidP="0074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>What is Computing?</w:t>
            </w:r>
            <w:r w:rsidR="00F606A5">
              <w:rPr>
                <w:b/>
              </w:rPr>
              <w:br/>
            </w:r>
            <w:r w:rsidR="00F606A5">
              <w:rPr>
                <w:bCs/>
                <w:i/>
                <w:iCs/>
              </w:rPr>
              <w:t>Input, Process, Output.</w:t>
            </w:r>
          </w:p>
        </w:tc>
        <w:tc>
          <w:tcPr>
            <w:tcW w:w="1890" w:type="dxa"/>
          </w:tcPr>
          <w:p w14:paraId="156DAF9A" w14:textId="342FBAC9" w:rsidR="00005745" w:rsidRPr="00745B31" w:rsidRDefault="00005745" w:rsidP="0074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What is Computing?</w:t>
            </w:r>
            <w:r w:rsidR="00F606A5">
              <w:rPr>
                <w:b/>
              </w:rPr>
              <w:br/>
            </w:r>
            <w:r w:rsidR="009732D6" w:rsidRPr="009732D6">
              <w:rPr>
                <w:bCs/>
                <w:i/>
                <w:iCs/>
              </w:rPr>
              <w:t>Peripherals</w:t>
            </w:r>
            <w:r w:rsidR="009732D6">
              <w:rPr>
                <w:bCs/>
                <w:i/>
                <w:iCs/>
              </w:rPr>
              <w:t xml:space="preserve"> (Input and Output devices)</w:t>
            </w:r>
          </w:p>
        </w:tc>
        <w:tc>
          <w:tcPr>
            <w:tcW w:w="1890" w:type="dxa"/>
          </w:tcPr>
          <w:p w14:paraId="504F3317" w14:textId="77777777" w:rsidR="00005745" w:rsidRDefault="00005745" w:rsidP="0074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What is Computing?</w:t>
            </w:r>
          </w:p>
          <w:p w14:paraId="2BF65F38" w14:textId="76386437" w:rsidR="009732D6" w:rsidRPr="00745B31" w:rsidRDefault="009732D6" w:rsidP="0074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06A5">
              <w:rPr>
                <w:bCs/>
                <w:i/>
                <w:iCs/>
              </w:rPr>
              <w:t xml:space="preserve">CPU </w:t>
            </w:r>
            <w:r>
              <w:rPr>
                <w:bCs/>
                <w:i/>
                <w:iCs/>
              </w:rPr>
              <w:t>–</w:t>
            </w:r>
            <w:r w:rsidRPr="00F606A5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Fetch/ Execute cycle</w:t>
            </w:r>
          </w:p>
        </w:tc>
        <w:tc>
          <w:tcPr>
            <w:tcW w:w="1863" w:type="dxa"/>
          </w:tcPr>
          <w:p w14:paraId="53097243" w14:textId="77777777" w:rsidR="00005745" w:rsidRDefault="00005745" w:rsidP="0074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What is Computing?</w:t>
            </w:r>
          </w:p>
          <w:p w14:paraId="25AFAAA2" w14:textId="7125C9E2" w:rsidR="009732D6" w:rsidRPr="009732D6" w:rsidRDefault="009732D6" w:rsidP="0074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Impact of ICT on society (SMLC)</w:t>
            </w:r>
          </w:p>
        </w:tc>
        <w:tc>
          <w:tcPr>
            <w:tcW w:w="1985" w:type="dxa"/>
          </w:tcPr>
          <w:p w14:paraId="1F2966DE" w14:textId="77777777" w:rsidR="00005745" w:rsidRDefault="00005745" w:rsidP="0074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What is Computing?</w:t>
            </w:r>
          </w:p>
          <w:p w14:paraId="5F31C0AC" w14:textId="51BEC8C7" w:rsidR="009732D6" w:rsidRPr="009732D6" w:rsidRDefault="009732D6" w:rsidP="0074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2B96CB1" w14:textId="77777777" w:rsidR="00005745" w:rsidRPr="00745B31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checkpoint week</w:t>
            </w:r>
          </w:p>
        </w:tc>
        <w:tc>
          <w:tcPr>
            <w:tcW w:w="1365" w:type="dxa"/>
            <w:shd w:val="clear" w:color="auto" w:fill="FBE4D5" w:themeFill="accent2" w:themeFillTint="33"/>
          </w:tcPr>
          <w:p w14:paraId="6E8B6C7C" w14:textId="77777777" w:rsidR="00005745" w:rsidRPr="00745B31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gap week</w:t>
            </w:r>
          </w:p>
        </w:tc>
      </w:tr>
      <w:tr w:rsidR="00005745" w:rsidRPr="00EC1848" w14:paraId="39CE857B" w14:textId="77777777" w:rsidTr="00E8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6FA5A6D3" w14:textId="77777777" w:rsidR="00005745" w:rsidRDefault="00005745" w:rsidP="00005745">
            <w:pPr>
              <w:pStyle w:val="TTCTText"/>
            </w:pPr>
            <w:r>
              <w:t>3</w:t>
            </w:r>
          </w:p>
          <w:p w14:paraId="40FDE729" w14:textId="77777777" w:rsidR="00005745" w:rsidRPr="00EC1848" w:rsidRDefault="00005745" w:rsidP="00005745">
            <w:pPr>
              <w:pStyle w:val="TTCTText"/>
            </w:pPr>
            <w:r>
              <w:t>9/1/23 – 3/3/23</w:t>
            </w:r>
          </w:p>
        </w:tc>
        <w:tc>
          <w:tcPr>
            <w:tcW w:w="1922" w:type="dxa"/>
          </w:tcPr>
          <w:p w14:paraId="6799E922" w14:textId="34E6E413" w:rsidR="00005745" w:rsidRPr="00F606A5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>Spreadsheet Modelling</w:t>
            </w:r>
            <w:r w:rsidR="00F606A5">
              <w:rPr>
                <w:b/>
              </w:rPr>
              <w:br/>
            </w:r>
            <w:r w:rsidR="00F606A5">
              <w:rPr>
                <w:bCs/>
                <w:i/>
                <w:iCs/>
              </w:rPr>
              <w:t>Getting to know a spreadsheet</w:t>
            </w:r>
          </w:p>
        </w:tc>
        <w:tc>
          <w:tcPr>
            <w:tcW w:w="1980" w:type="dxa"/>
          </w:tcPr>
          <w:p w14:paraId="1691A402" w14:textId="07864FAA" w:rsidR="00005745" w:rsidRPr="00F606A5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>Spreadsheet Modelling</w:t>
            </w:r>
            <w:r w:rsidR="00F606A5">
              <w:rPr>
                <w:b/>
              </w:rPr>
              <w:br/>
            </w:r>
            <w:r w:rsidR="00F606A5">
              <w:rPr>
                <w:bCs/>
                <w:i/>
                <w:iCs/>
              </w:rPr>
              <w:t>Quick Calculations</w:t>
            </w:r>
          </w:p>
        </w:tc>
        <w:tc>
          <w:tcPr>
            <w:tcW w:w="1890" w:type="dxa"/>
          </w:tcPr>
          <w:p w14:paraId="6C4D8E5B" w14:textId="28A3A5C1" w:rsidR="00005745" w:rsidRPr="00F606A5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>Spreadsheet Modelling</w:t>
            </w:r>
            <w:r w:rsidR="00F606A5">
              <w:rPr>
                <w:b/>
              </w:rPr>
              <w:br/>
            </w:r>
            <w:r w:rsidR="00F606A5">
              <w:rPr>
                <w:bCs/>
                <w:i/>
                <w:iCs/>
              </w:rPr>
              <w:t>Collecting data</w:t>
            </w:r>
          </w:p>
        </w:tc>
        <w:tc>
          <w:tcPr>
            <w:tcW w:w="1890" w:type="dxa"/>
          </w:tcPr>
          <w:p w14:paraId="765B2AA6" w14:textId="1C020EB1" w:rsidR="00005745" w:rsidRPr="00F606A5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>Spreadsheet Modelling</w:t>
            </w:r>
            <w:r w:rsidR="00F606A5">
              <w:rPr>
                <w:b/>
              </w:rPr>
              <w:br/>
            </w:r>
            <w:r w:rsidR="00F606A5">
              <w:rPr>
                <w:bCs/>
                <w:i/>
                <w:iCs/>
              </w:rPr>
              <w:t>Become a datamaster</w:t>
            </w:r>
          </w:p>
        </w:tc>
        <w:tc>
          <w:tcPr>
            <w:tcW w:w="1863" w:type="dxa"/>
          </w:tcPr>
          <w:p w14:paraId="22800A3B" w14:textId="1D572675" w:rsidR="00005745" w:rsidRPr="00F606A5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>Spreadsheet Modelling</w:t>
            </w:r>
            <w:r w:rsidR="00F606A5">
              <w:rPr>
                <w:b/>
              </w:rPr>
              <w:br/>
            </w:r>
            <w:r w:rsidR="00F606A5">
              <w:rPr>
                <w:bCs/>
                <w:i/>
                <w:iCs/>
              </w:rPr>
              <w:t>Level up your data skills!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DF034DE" w14:textId="77777777" w:rsidR="00E8017F" w:rsidRDefault="00E8017F" w:rsidP="00E8017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checkpoint week</w:t>
            </w:r>
          </w:p>
          <w:p w14:paraId="251550E0" w14:textId="33292541" w:rsidR="00005745" w:rsidRPr="00745B31" w:rsidRDefault="00E8017F" w:rsidP="00E8017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KS3 CUMULATIVE ASSESSMENTS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3DCC7A3E" w14:textId="77777777" w:rsidR="00005745" w:rsidRPr="00745B31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gap week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87A6055" w14:textId="77777777" w:rsidR="00005745" w:rsidRPr="00EC1848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745" w:rsidRPr="00EC1848" w14:paraId="608D3A5A" w14:textId="77777777" w:rsidTr="00E8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2E3890A" w14:textId="77777777" w:rsidR="00005745" w:rsidRDefault="00005745" w:rsidP="00005745">
            <w:pPr>
              <w:pStyle w:val="TTCTText"/>
            </w:pPr>
            <w:r>
              <w:t>4</w:t>
            </w:r>
          </w:p>
          <w:p w14:paraId="2E0D17CE" w14:textId="77777777" w:rsidR="00005745" w:rsidRPr="00EC1848" w:rsidRDefault="00005745" w:rsidP="00005745">
            <w:pPr>
              <w:pStyle w:val="TTCTText"/>
            </w:pPr>
            <w:r>
              <w:t>6/3/23 – 12/5/23</w:t>
            </w:r>
          </w:p>
        </w:tc>
        <w:tc>
          <w:tcPr>
            <w:tcW w:w="1922" w:type="dxa"/>
          </w:tcPr>
          <w:p w14:paraId="47570524" w14:textId="59811EBD" w:rsidR="00005745" w:rsidRPr="009732D6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>Introduction to binary</w:t>
            </w:r>
            <w:r w:rsidR="009732D6">
              <w:rPr>
                <w:b/>
              </w:rPr>
              <w:br/>
            </w:r>
            <w:r w:rsidR="009732D6">
              <w:rPr>
                <w:bCs/>
                <w:i/>
                <w:iCs/>
              </w:rPr>
              <w:t>What and why is binary?</w:t>
            </w:r>
          </w:p>
        </w:tc>
        <w:tc>
          <w:tcPr>
            <w:tcW w:w="1980" w:type="dxa"/>
          </w:tcPr>
          <w:p w14:paraId="1023B5AF" w14:textId="77777777" w:rsidR="00005745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Introduction to binary</w:t>
            </w:r>
          </w:p>
          <w:p w14:paraId="706CFE9B" w14:textId="344869FF" w:rsidR="009732D6" w:rsidRPr="009732D6" w:rsidRDefault="0019490E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Converting binary into denary</w:t>
            </w:r>
          </w:p>
        </w:tc>
        <w:tc>
          <w:tcPr>
            <w:tcW w:w="1890" w:type="dxa"/>
          </w:tcPr>
          <w:p w14:paraId="67B0DA6B" w14:textId="77777777" w:rsidR="00005745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Introduction to binary</w:t>
            </w:r>
          </w:p>
          <w:p w14:paraId="207079EB" w14:textId="1BE185DD" w:rsidR="0019490E" w:rsidRPr="0019490E" w:rsidRDefault="0019490E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Bigger numbers – K,M,G,T,P</w:t>
            </w:r>
          </w:p>
        </w:tc>
        <w:tc>
          <w:tcPr>
            <w:tcW w:w="1890" w:type="dxa"/>
          </w:tcPr>
          <w:p w14:paraId="1601FEB8" w14:textId="1E29375F" w:rsidR="00005745" w:rsidRPr="0019490E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45B31">
              <w:rPr>
                <w:b/>
              </w:rPr>
              <w:t>Introduction to Scratch</w:t>
            </w:r>
            <w:r w:rsidR="0019490E">
              <w:rPr>
                <w:b/>
              </w:rPr>
              <w:br/>
            </w:r>
            <w:r w:rsidR="0019490E" w:rsidRPr="0019490E">
              <w:rPr>
                <w:bCs/>
                <w:i/>
                <w:iCs/>
              </w:rPr>
              <w:t>A</w:t>
            </w:r>
            <w:r w:rsidR="0019490E">
              <w:rPr>
                <w:bCs/>
                <w:i/>
                <w:iCs/>
              </w:rPr>
              <w:t>c</w:t>
            </w:r>
            <w:r w:rsidR="0019490E" w:rsidRPr="0019490E">
              <w:rPr>
                <w:bCs/>
                <w:i/>
                <w:iCs/>
              </w:rPr>
              <w:t>cessing Scratch</w:t>
            </w:r>
            <w:r w:rsidR="0019490E">
              <w:rPr>
                <w:bCs/>
                <w:i/>
                <w:iCs/>
              </w:rPr>
              <w:t xml:space="preserve"> online and creating sprites.</w:t>
            </w:r>
          </w:p>
        </w:tc>
        <w:tc>
          <w:tcPr>
            <w:tcW w:w="1863" w:type="dxa"/>
          </w:tcPr>
          <w:p w14:paraId="50726A1B" w14:textId="77777777" w:rsidR="00005745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Introduction to Scratch</w:t>
            </w:r>
          </w:p>
          <w:p w14:paraId="6595A438" w14:textId="50F5739E" w:rsidR="0019490E" w:rsidRPr="0019490E" w:rsidRDefault="0019490E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Making your first shooting game.</w:t>
            </w:r>
          </w:p>
        </w:tc>
        <w:tc>
          <w:tcPr>
            <w:tcW w:w="1985" w:type="dxa"/>
          </w:tcPr>
          <w:p w14:paraId="38C9EE35" w14:textId="0F87AF46" w:rsidR="00005745" w:rsidRPr="00745B31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Introduction to Scratch</w:t>
            </w:r>
            <w:r w:rsidR="0019490E">
              <w:rPr>
                <w:b/>
              </w:rPr>
              <w:br/>
            </w:r>
            <w:r w:rsidR="0019490E" w:rsidRPr="0019490E">
              <w:rPr>
                <w:bCs/>
                <w:i/>
                <w:iCs/>
              </w:rPr>
              <w:t>Completing the shooter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95C10CD" w14:textId="77777777" w:rsidR="00005745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checkpoint week</w:t>
            </w:r>
          </w:p>
          <w:p w14:paraId="35C43661" w14:textId="00628438" w:rsidR="0019490E" w:rsidRPr="0019490E" w:rsidRDefault="0019490E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Peer evaluation</w:t>
            </w:r>
          </w:p>
        </w:tc>
        <w:tc>
          <w:tcPr>
            <w:tcW w:w="1365" w:type="dxa"/>
            <w:shd w:val="clear" w:color="auto" w:fill="FBE4D5" w:themeFill="accent2" w:themeFillTint="33"/>
          </w:tcPr>
          <w:p w14:paraId="4366F9E2" w14:textId="77777777" w:rsidR="00005745" w:rsidRPr="00745B31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gap week</w:t>
            </w:r>
          </w:p>
        </w:tc>
      </w:tr>
      <w:tr w:rsidR="00005745" w:rsidRPr="00EC1848" w14:paraId="4FE7C0F9" w14:textId="77777777" w:rsidTr="00E8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5047413" w14:textId="77777777" w:rsidR="00005745" w:rsidRDefault="00005745" w:rsidP="00005745">
            <w:pPr>
              <w:pStyle w:val="TTCTText"/>
            </w:pPr>
            <w:r>
              <w:t>5</w:t>
            </w:r>
          </w:p>
          <w:p w14:paraId="36E5CD87" w14:textId="77777777" w:rsidR="00005745" w:rsidRPr="00EC1848" w:rsidRDefault="00005745" w:rsidP="00005745">
            <w:pPr>
              <w:pStyle w:val="TTCTText"/>
            </w:pPr>
            <w:r>
              <w:t>15/5/23 – 3/7/23</w:t>
            </w:r>
          </w:p>
        </w:tc>
        <w:tc>
          <w:tcPr>
            <w:tcW w:w="1922" w:type="dxa"/>
          </w:tcPr>
          <w:p w14:paraId="290A789B" w14:textId="068A2BA1" w:rsidR="00005745" w:rsidRPr="00E86F4F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 xml:space="preserve">Scratch </w:t>
            </w:r>
            <w:r w:rsidR="00E86F4F">
              <w:rPr>
                <w:b/>
              </w:rPr>
              <w:t>–</w:t>
            </w:r>
            <w:r w:rsidRPr="00745B31">
              <w:rPr>
                <w:b/>
              </w:rPr>
              <w:t xml:space="preserve"> PacMan</w:t>
            </w:r>
            <w:r w:rsidR="00E86F4F">
              <w:rPr>
                <w:b/>
              </w:rPr>
              <w:br/>
            </w:r>
            <w:r w:rsidR="00E86F4F">
              <w:rPr>
                <w:bCs/>
                <w:i/>
                <w:iCs/>
              </w:rPr>
              <w:t>Drawing the maze background</w:t>
            </w:r>
          </w:p>
        </w:tc>
        <w:tc>
          <w:tcPr>
            <w:tcW w:w="1980" w:type="dxa"/>
          </w:tcPr>
          <w:p w14:paraId="11C18D81" w14:textId="5588BDCC" w:rsidR="00005745" w:rsidRPr="0061706B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 xml:space="preserve">Scratch </w:t>
            </w:r>
            <w:r w:rsidR="0061706B">
              <w:rPr>
                <w:b/>
              </w:rPr>
              <w:t>–</w:t>
            </w:r>
            <w:r w:rsidRPr="00745B31">
              <w:rPr>
                <w:b/>
              </w:rPr>
              <w:t xml:space="preserve"> PacMan</w:t>
            </w:r>
            <w:r w:rsidR="0061706B">
              <w:rPr>
                <w:b/>
              </w:rPr>
              <w:br/>
            </w:r>
            <w:r w:rsidR="0061706B">
              <w:rPr>
                <w:bCs/>
                <w:i/>
                <w:iCs/>
              </w:rPr>
              <w:t>Creating and animating your sprite</w:t>
            </w:r>
          </w:p>
        </w:tc>
        <w:tc>
          <w:tcPr>
            <w:tcW w:w="1890" w:type="dxa"/>
          </w:tcPr>
          <w:p w14:paraId="495E545F" w14:textId="4C58BD87" w:rsidR="00005745" w:rsidRPr="0061706B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45B31">
              <w:rPr>
                <w:b/>
              </w:rPr>
              <w:t xml:space="preserve">Scratch </w:t>
            </w:r>
            <w:r w:rsidR="0061706B">
              <w:rPr>
                <w:b/>
              </w:rPr>
              <w:t>–</w:t>
            </w:r>
            <w:r w:rsidRPr="00745B31">
              <w:rPr>
                <w:b/>
              </w:rPr>
              <w:t xml:space="preserve"> PacMan</w:t>
            </w:r>
            <w:r w:rsidR="0061706B">
              <w:rPr>
                <w:b/>
              </w:rPr>
              <w:br/>
            </w:r>
            <w:r w:rsidR="0061706B">
              <w:rPr>
                <w:bCs/>
                <w:i/>
                <w:iCs/>
              </w:rPr>
              <w:t>Movement controls and collectables</w:t>
            </w:r>
          </w:p>
        </w:tc>
        <w:tc>
          <w:tcPr>
            <w:tcW w:w="1890" w:type="dxa"/>
          </w:tcPr>
          <w:p w14:paraId="42D7976E" w14:textId="1790D67D" w:rsidR="00005745" w:rsidRPr="00745B31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 xml:space="preserve">Scratch </w:t>
            </w:r>
            <w:r w:rsidR="0061706B">
              <w:rPr>
                <w:b/>
              </w:rPr>
              <w:t>–</w:t>
            </w:r>
            <w:r w:rsidRPr="00745B31">
              <w:rPr>
                <w:b/>
              </w:rPr>
              <w:t xml:space="preserve"> PacMan</w:t>
            </w:r>
            <w:r w:rsidR="0061706B">
              <w:rPr>
                <w:b/>
              </w:rPr>
              <w:br/>
            </w:r>
            <w:r w:rsidR="0061706B" w:rsidRPr="0061706B">
              <w:rPr>
                <w:bCs/>
                <w:i/>
                <w:iCs/>
              </w:rPr>
              <w:t>Using variables to record score and “power-ups”</w:t>
            </w:r>
          </w:p>
        </w:tc>
        <w:tc>
          <w:tcPr>
            <w:tcW w:w="1863" w:type="dxa"/>
          </w:tcPr>
          <w:p w14:paraId="63D92569" w14:textId="0EEE7470" w:rsidR="00005745" w:rsidRPr="00745B31" w:rsidRDefault="0000574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5B31">
              <w:rPr>
                <w:b/>
              </w:rPr>
              <w:t>Scratch - PacMan</w:t>
            </w:r>
            <w:r w:rsidR="0061706B">
              <w:rPr>
                <w:b/>
              </w:rPr>
              <w:br/>
            </w:r>
            <w:r w:rsidR="0061706B" w:rsidRPr="0061706B">
              <w:rPr>
                <w:bCs/>
                <w:i/>
                <w:iCs/>
              </w:rPr>
              <w:t>Completing your game</w:t>
            </w:r>
            <w:r w:rsidR="0061706B">
              <w:rPr>
                <w:bCs/>
                <w:i/>
                <w:iCs/>
              </w:rPr>
              <w:t xml:space="preserve"> – adding jeopardy!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852F639" w14:textId="77777777" w:rsidR="00E8017F" w:rsidRDefault="00E8017F" w:rsidP="00E8017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checkpoint week</w:t>
            </w:r>
          </w:p>
          <w:p w14:paraId="1C7D0DCE" w14:textId="51BCE889" w:rsidR="0061706B" w:rsidRPr="00745B31" w:rsidRDefault="00E8017F" w:rsidP="00E8017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KS3 CUMULATIVE ASSESSMENTS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4875774" w14:textId="77777777" w:rsidR="00005745" w:rsidRPr="00745B31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gap week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732B8C8" w14:textId="77777777" w:rsidR="00005745" w:rsidRPr="00EC1848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745" w:rsidRPr="00EC1848" w14:paraId="438B1741" w14:textId="77777777" w:rsidTr="00E86F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08E2F504" w14:textId="77777777" w:rsidR="00005745" w:rsidRDefault="00005745" w:rsidP="00005745">
            <w:pPr>
              <w:pStyle w:val="TTCTText"/>
            </w:pPr>
            <w:r>
              <w:t>mini unit</w:t>
            </w:r>
          </w:p>
          <w:p w14:paraId="05DE44CB" w14:textId="77777777" w:rsidR="00005745" w:rsidRDefault="00005745" w:rsidP="00005745">
            <w:pPr>
              <w:pStyle w:val="TTCTText"/>
            </w:pPr>
            <w:r>
              <w:t>10/7/23 – 21/7/23</w:t>
            </w:r>
          </w:p>
        </w:tc>
        <w:tc>
          <w:tcPr>
            <w:tcW w:w="1922" w:type="dxa"/>
          </w:tcPr>
          <w:p w14:paraId="3B01C4E9" w14:textId="3FD46B08" w:rsidR="00005745" w:rsidRDefault="00B00FFC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Turtle coding</w:t>
            </w:r>
          </w:p>
        </w:tc>
        <w:tc>
          <w:tcPr>
            <w:tcW w:w="1980" w:type="dxa"/>
          </w:tcPr>
          <w:p w14:paraId="4DEBFC14" w14:textId="0C86068B" w:rsidR="00005745" w:rsidRPr="00745B31" w:rsidRDefault="00B00FFC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Turtle – nested iterations!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1327882" w14:textId="77777777" w:rsidR="00005745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8460CFC" w14:textId="77777777" w:rsidR="00005745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14:paraId="726CFFD4" w14:textId="77777777" w:rsidR="00005745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A9F5183" w14:textId="77777777" w:rsidR="00005745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D070534" w14:textId="77777777" w:rsidR="00005745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015F63FA" w14:textId="77777777" w:rsidR="00005745" w:rsidRPr="00EC1848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08039D" w14:textId="77777777" w:rsidR="00F931B4" w:rsidRDefault="00F931B4" w:rsidP="00130829">
      <w:pPr>
        <w:pStyle w:val="TTCTText"/>
        <w:jc w:val="left"/>
      </w:pPr>
    </w:p>
    <w:p w14:paraId="307F6BAA" w14:textId="77777777" w:rsidR="00F931B4" w:rsidRDefault="00F931B4" w:rsidP="00130829">
      <w:pPr>
        <w:pStyle w:val="TTCTText"/>
        <w:jc w:val="left"/>
      </w:pPr>
    </w:p>
    <w:p w14:paraId="23521321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5291" w14:textId="77777777" w:rsidR="0090151A" w:rsidRDefault="0090151A" w:rsidP="000D506B">
      <w:r>
        <w:separator/>
      </w:r>
    </w:p>
  </w:endnote>
  <w:endnote w:type="continuationSeparator" w:id="0">
    <w:p w14:paraId="247F10A1" w14:textId="77777777" w:rsidR="0090151A" w:rsidRDefault="0090151A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4F00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7812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20811507" wp14:editId="1310830A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782A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241D5840" wp14:editId="14CF63E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06BC" w14:textId="77777777" w:rsidR="0090151A" w:rsidRDefault="0090151A" w:rsidP="000D506B">
      <w:r>
        <w:separator/>
      </w:r>
    </w:p>
  </w:footnote>
  <w:footnote w:type="continuationSeparator" w:id="0">
    <w:p w14:paraId="160C4C72" w14:textId="77777777" w:rsidR="0090151A" w:rsidRDefault="0090151A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69B7" w14:textId="77777777" w:rsidR="000D506B" w:rsidRDefault="001218AF">
    <w:pPr>
      <w:pStyle w:val="Header"/>
    </w:pPr>
    <w:r>
      <w:rPr>
        <w:noProof/>
      </w:rPr>
      <w:pict w14:anchorId="3BBEE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8536" w14:textId="77777777" w:rsidR="000D506B" w:rsidRPr="00D60A43" w:rsidRDefault="001218AF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25E01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4579" w14:textId="77777777" w:rsidR="000D506B" w:rsidRDefault="001218AF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7B7FD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71EC3528" wp14:editId="0DC044D5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05745"/>
    <w:rsid w:val="000145B2"/>
    <w:rsid w:val="00051426"/>
    <w:rsid w:val="0007060B"/>
    <w:rsid w:val="00084966"/>
    <w:rsid w:val="000A7692"/>
    <w:rsid w:val="000D506B"/>
    <w:rsid w:val="001218AF"/>
    <w:rsid w:val="00130829"/>
    <w:rsid w:val="001377ED"/>
    <w:rsid w:val="00152CD2"/>
    <w:rsid w:val="00185CDD"/>
    <w:rsid w:val="0019490E"/>
    <w:rsid w:val="001F749A"/>
    <w:rsid w:val="002B0F0E"/>
    <w:rsid w:val="00346A0A"/>
    <w:rsid w:val="003C1280"/>
    <w:rsid w:val="003E0EE8"/>
    <w:rsid w:val="003F478A"/>
    <w:rsid w:val="004A25D1"/>
    <w:rsid w:val="004B4115"/>
    <w:rsid w:val="004F0306"/>
    <w:rsid w:val="004F1DE5"/>
    <w:rsid w:val="00587AED"/>
    <w:rsid w:val="0061706B"/>
    <w:rsid w:val="00641163"/>
    <w:rsid w:val="00656B04"/>
    <w:rsid w:val="0068616B"/>
    <w:rsid w:val="006966ED"/>
    <w:rsid w:val="006C4971"/>
    <w:rsid w:val="00736174"/>
    <w:rsid w:val="00745B31"/>
    <w:rsid w:val="00747994"/>
    <w:rsid w:val="00782AA0"/>
    <w:rsid w:val="007A178B"/>
    <w:rsid w:val="007B292B"/>
    <w:rsid w:val="007C22FB"/>
    <w:rsid w:val="007E549A"/>
    <w:rsid w:val="00857941"/>
    <w:rsid w:val="008D3DA2"/>
    <w:rsid w:val="008E3C90"/>
    <w:rsid w:val="0090151A"/>
    <w:rsid w:val="00922EAF"/>
    <w:rsid w:val="0093212C"/>
    <w:rsid w:val="009372D2"/>
    <w:rsid w:val="00953AC8"/>
    <w:rsid w:val="00955925"/>
    <w:rsid w:val="009732D6"/>
    <w:rsid w:val="00991DD1"/>
    <w:rsid w:val="009E7F43"/>
    <w:rsid w:val="009F4176"/>
    <w:rsid w:val="00A93C05"/>
    <w:rsid w:val="00B00FFC"/>
    <w:rsid w:val="00BB5F4F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0091B"/>
    <w:rsid w:val="00E21ABE"/>
    <w:rsid w:val="00E34F62"/>
    <w:rsid w:val="00E566EB"/>
    <w:rsid w:val="00E61613"/>
    <w:rsid w:val="00E8017F"/>
    <w:rsid w:val="00E86F4F"/>
    <w:rsid w:val="00E95176"/>
    <w:rsid w:val="00EC1848"/>
    <w:rsid w:val="00F02AD0"/>
    <w:rsid w:val="00F3491A"/>
    <w:rsid w:val="00F606A5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28079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  <w:rsid w:val="00A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7</cp:revision>
  <dcterms:created xsi:type="dcterms:W3CDTF">2022-06-29T13:42:00Z</dcterms:created>
  <dcterms:modified xsi:type="dcterms:W3CDTF">2023-09-09T10:43:00Z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