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8A" w:rsidRPr="00736174" w:rsidRDefault="009B3459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:rsidR="00DA2FA9" w:rsidRPr="00736174" w:rsidRDefault="00E95176" w:rsidP="00736174">
      <w:pPr>
        <w:pStyle w:val="ListParagraph"/>
      </w:pPr>
      <w:r>
        <w:t>Ye</w:t>
      </w:r>
      <w:r w:rsidR="003C1280">
        <w:t>ar</w:t>
      </w:r>
      <w:r w:rsidR="00EA0EFF">
        <w:t xml:space="preserve"> 7</w:t>
      </w:r>
      <w:r w:rsidR="003C1280">
        <w:t xml:space="preserve"> </w:t>
      </w:r>
      <w:r w:rsidR="00EA0EFF">
        <w:t>Art</w:t>
      </w:r>
      <w:bookmarkStart w:id="0" w:name="_GoBack"/>
      <w:bookmarkEnd w:id="0"/>
    </w:p>
    <w:p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223"/>
        <w:gridCol w:w="1787"/>
        <w:gridCol w:w="1788"/>
        <w:gridCol w:w="1789"/>
        <w:gridCol w:w="1790"/>
        <w:gridCol w:w="1789"/>
        <w:gridCol w:w="1795"/>
        <w:gridCol w:w="1794"/>
        <w:gridCol w:w="1780"/>
      </w:tblGrid>
      <w:tr w:rsidR="00AD7A2F" w:rsidRPr="00EC1848" w:rsidTr="00BC6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EC1848" w:rsidRDefault="003C1280" w:rsidP="009372D2">
            <w:pPr>
              <w:pStyle w:val="TTCTText"/>
            </w:pPr>
            <w:r>
              <w:t>Learning cycle</w:t>
            </w:r>
          </w:p>
          <w:p w:rsidR="003C1280" w:rsidRPr="00EC1848" w:rsidRDefault="003C1280" w:rsidP="009372D2">
            <w:pPr>
              <w:pStyle w:val="TTCTText"/>
            </w:pPr>
          </w:p>
        </w:tc>
        <w:tc>
          <w:tcPr>
            <w:tcW w:w="1787" w:type="dxa"/>
            <w:hideMark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788" w:type="dxa"/>
            <w:hideMark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789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90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89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95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94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780" w:type="dxa"/>
          </w:tcPr>
          <w:p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46417D" w:rsidRPr="00EC1848" w:rsidTr="00BC6D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hideMark/>
          </w:tcPr>
          <w:p w:rsidR="00BC6D60" w:rsidRDefault="00BC6D60" w:rsidP="00BC6D60">
            <w:pPr>
              <w:pStyle w:val="TTCTText"/>
            </w:pPr>
            <w:r>
              <w:t>1</w:t>
            </w:r>
          </w:p>
          <w:p w:rsidR="00BC6D60" w:rsidRPr="00EC1848" w:rsidRDefault="00BC6D60" w:rsidP="00BC6D60">
            <w:pPr>
              <w:pStyle w:val="TTCTText"/>
            </w:pPr>
            <w:r>
              <w:t>5/9/22 – 21/10/22</w:t>
            </w:r>
          </w:p>
        </w:tc>
        <w:tc>
          <w:tcPr>
            <w:tcW w:w="1787" w:type="dxa"/>
          </w:tcPr>
          <w:p w:rsidR="00BC6D60" w:rsidRPr="00EC1848" w:rsidRDefault="00BC6D60" w:rsidP="00BC6D6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Fish Parade </w:t>
            </w:r>
            <w:r w:rsidRPr="00BC6D60">
              <w:rPr>
                <w:b/>
              </w:rPr>
              <w:t xml:space="preserve">Nikki de Saint </w:t>
            </w:r>
            <w:proofErr w:type="spellStart"/>
            <w:r w:rsidRPr="00BC6D60">
              <w:rPr>
                <w:b/>
              </w:rPr>
              <w:t>Phalle</w:t>
            </w:r>
            <w:proofErr w:type="spellEnd"/>
            <w:r>
              <w:t xml:space="preserve"> – colour wheel pattern design</w:t>
            </w:r>
          </w:p>
        </w:tc>
        <w:tc>
          <w:tcPr>
            <w:tcW w:w="1788" w:type="dxa"/>
          </w:tcPr>
          <w:p w:rsidR="00BC6D60" w:rsidRDefault="00BC6D60" w:rsidP="00BC6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Fish Parade</w:t>
            </w:r>
          </w:p>
          <w:p w:rsidR="00BC6D60" w:rsidRDefault="00BC6D60" w:rsidP="00BC6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A7B">
              <w:rPr>
                <w:b/>
              </w:rPr>
              <w:t xml:space="preserve">Nikki de Saint </w:t>
            </w:r>
            <w:proofErr w:type="spellStart"/>
            <w:r w:rsidRPr="00387A7B">
              <w:rPr>
                <w:b/>
              </w:rPr>
              <w:t>Phalle</w:t>
            </w:r>
            <w:proofErr w:type="spellEnd"/>
            <w:r w:rsidRPr="00387A7B">
              <w:t xml:space="preserve"> – colour wheel p</w:t>
            </w:r>
            <w:r>
              <w:t>rimary colour shading</w:t>
            </w:r>
          </w:p>
          <w:p w:rsidR="00BC6D60" w:rsidRDefault="00BC6D60" w:rsidP="00BC6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techniques</w:t>
            </w:r>
          </w:p>
        </w:tc>
        <w:tc>
          <w:tcPr>
            <w:tcW w:w="1789" w:type="dxa"/>
          </w:tcPr>
          <w:p w:rsidR="00BC6D60" w:rsidRDefault="00BC6D60" w:rsidP="00BC6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Fish Parade</w:t>
            </w:r>
          </w:p>
          <w:p w:rsidR="00BC6D60" w:rsidRDefault="00BC6D60" w:rsidP="00BC6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A7B">
              <w:rPr>
                <w:b/>
              </w:rPr>
              <w:t xml:space="preserve">Nikki de Saint </w:t>
            </w:r>
            <w:proofErr w:type="spellStart"/>
            <w:r w:rsidRPr="00387A7B">
              <w:rPr>
                <w:b/>
              </w:rPr>
              <w:t>Phalle</w:t>
            </w:r>
            <w:proofErr w:type="spellEnd"/>
            <w:r w:rsidRPr="00387A7B">
              <w:t xml:space="preserve"> – colour wheel </w:t>
            </w:r>
            <w:r>
              <w:t>secondary colour shading techniques</w:t>
            </w:r>
          </w:p>
        </w:tc>
        <w:tc>
          <w:tcPr>
            <w:tcW w:w="1790" w:type="dxa"/>
          </w:tcPr>
          <w:p w:rsidR="00BC6D60" w:rsidRDefault="00BC6D60" w:rsidP="00BC6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Fish Parade</w:t>
            </w:r>
          </w:p>
          <w:p w:rsidR="00BC6D60" w:rsidRDefault="00BC6D60" w:rsidP="00BC6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A7B">
              <w:rPr>
                <w:b/>
              </w:rPr>
              <w:t xml:space="preserve">Nikki de Saint </w:t>
            </w:r>
            <w:proofErr w:type="spellStart"/>
            <w:r w:rsidRPr="00387A7B">
              <w:rPr>
                <w:b/>
              </w:rPr>
              <w:t>Phalle</w:t>
            </w:r>
            <w:proofErr w:type="spellEnd"/>
            <w:r w:rsidRPr="00387A7B">
              <w:t xml:space="preserve"> – colour </w:t>
            </w:r>
            <w:r>
              <w:t>techniques</w:t>
            </w:r>
          </w:p>
        </w:tc>
        <w:tc>
          <w:tcPr>
            <w:tcW w:w="1789" w:type="dxa"/>
          </w:tcPr>
          <w:p w:rsidR="00BC6D60" w:rsidRDefault="00BC6D60" w:rsidP="00BC6D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Fish Parade</w:t>
            </w:r>
          </w:p>
          <w:p w:rsidR="00BC6D60" w:rsidRPr="00EC1848" w:rsidRDefault="00BC6D60" w:rsidP="00BC6D6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A7B">
              <w:rPr>
                <w:b/>
              </w:rPr>
              <w:t xml:space="preserve">Nikki de Saint </w:t>
            </w:r>
            <w:proofErr w:type="spellStart"/>
            <w:r w:rsidRPr="00387A7B">
              <w:rPr>
                <w:b/>
              </w:rPr>
              <w:t>Phalle</w:t>
            </w:r>
            <w:proofErr w:type="spellEnd"/>
            <w:r w:rsidRPr="00387A7B">
              <w:t xml:space="preserve"> – </w:t>
            </w:r>
            <w:r w:rsidR="001A3707">
              <w:t xml:space="preserve">Subject mind map and </w:t>
            </w:r>
            <w:r>
              <w:t>3D clay design</w:t>
            </w:r>
            <w:r w:rsidR="001A3707">
              <w:t>.</w:t>
            </w:r>
          </w:p>
        </w:tc>
        <w:tc>
          <w:tcPr>
            <w:tcW w:w="1795" w:type="dxa"/>
          </w:tcPr>
          <w:p w:rsidR="005A3E41" w:rsidRPr="005A3E41" w:rsidRDefault="00BC6D60" w:rsidP="005A3E4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9"/>
            </w:tblGrid>
            <w:tr w:rsidR="005A3E41">
              <w:trPr>
                <w:trHeight w:val="220"/>
              </w:trPr>
              <w:tc>
                <w:tcPr>
                  <w:tcW w:w="0" w:type="auto"/>
                </w:tcPr>
                <w:p w:rsidR="005A3E41" w:rsidRDefault="005A3E41" w:rsidP="00AD7A2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100% sheet Interim Assessment </w:t>
                  </w:r>
                </w:p>
                <w:p w:rsidR="005A3E41" w:rsidRDefault="005A3E41" w:rsidP="005A3E4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5A3E41">
              <w:trPr>
                <w:trHeight w:val="220"/>
              </w:trPr>
              <w:tc>
                <w:tcPr>
                  <w:tcW w:w="0" w:type="auto"/>
                </w:tcPr>
                <w:p w:rsidR="005A3E41" w:rsidRDefault="005A3E41" w:rsidP="00AD7A2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Colour techniques </w:t>
                  </w:r>
                  <w:r w:rsidR="00212C6C">
                    <w:rPr>
                      <w:sz w:val="20"/>
                      <w:szCs w:val="20"/>
                    </w:rPr>
                    <w:t xml:space="preserve">and </w:t>
                  </w:r>
                  <w:r>
                    <w:rPr>
                      <w:sz w:val="20"/>
                      <w:szCs w:val="20"/>
                    </w:rPr>
                    <w:t xml:space="preserve"> 3D fish design</w:t>
                  </w:r>
                  <w:r w:rsidR="00212C6C">
                    <w:rPr>
                      <w:sz w:val="20"/>
                      <w:szCs w:val="20"/>
                    </w:rPr>
                    <w:t xml:space="preserve"> yellow sheet.</w:t>
                  </w:r>
                </w:p>
              </w:tc>
            </w:tr>
          </w:tbl>
          <w:p w:rsidR="005A3E41" w:rsidRPr="005A3E41" w:rsidRDefault="005A3E41" w:rsidP="00BC6D6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4" w:type="dxa"/>
          </w:tcPr>
          <w:p w:rsidR="00BC6D60" w:rsidRDefault="00BC6D60" w:rsidP="00BC6D6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:rsidR="005A3E41" w:rsidRDefault="005A3E41" w:rsidP="00BC6D6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5A3E41" w:rsidRPr="005A3E41" w:rsidRDefault="005A3E41" w:rsidP="00BC6D6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Colour techniques on both colour wheel and 3D fish design.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BC6D60" w:rsidRPr="00EC1848" w:rsidRDefault="00BC6D60" w:rsidP="00BC6D60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7A2F" w:rsidRPr="00EC1848" w:rsidTr="00BC6D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hideMark/>
          </w:tcPr>
          <w:p w:rsidR="000A7692" w:rsidRDefault="003C1280" w:rsidP="009372D2">
            <w:pPr>
              <w:pStyle w:val="TTCTText"/>
            </w:pPr>
            <w:r>
              <w:t>2</w:t>
            </w:r>
          </w:p>
          <w:p w:rsidR="003C1280" w:rsidRPr="00EC1848" w:rsidRDefault="003C1280" w:rsidP="009372D2">
            <w:pPr>
              <w:pStyle w:val="TTCTText"/>
            </w:pPr>
            <w:r>
              <w:t>31/10/22- 22/12/22</w:t>
            </w:r>
          </w:p>
        </w:tc>
        <w:tc>
          <w:tcPr>
            <w:tcW w:w="1787" w:type="dxa"/>
          </w:tcPr>
          <w:p w:rsidR="00063471" w:rsidRDefault="00063471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Fish Parade</w:t>
            </w:r>
          </w:p>
          <w:p w:rsidR="000A7692" w:rsidRPr="00EC1848" w:rsidRDefault="00063471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Ceramics 1 – </w:t>
            </w:r>
            <w:proofErr w:type="spellStart"/>
            <w:r>
              <w:t>pinch</w:t>
            </w:r>
            <w:proofErr w:type="spellEnd"/>
            <w:r>
              <w:t xml:space="preserve"> pots</w:t>
            </w:r>
          </w:p>
        </w:tc>
        <w:tc>
          <w:tcPr>
            <w:tcW w:w="1788" w:type="dxa"/>
          </w:tcPr>
          <w:p w:rsidR="00063471" w:rsidRDefault="00063471" w:rsidP="0006347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Fish Parade</w:t>
            </w:r>
          </w:p>
          <w:p w:rsidR="000A7692" w:rsidRPr="00EC1848" w:rsidRDefault="00063471" w:rsidP="0006347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Ceramics 2 – adding features</w:t>
            </w:r>
          </w:p>
        </w:tc>
        <w:tc>
          <w:tcPr>
            <w:tcW w:w="1789" w:type="dxa"/>
          </w:tcPr>
          <w:p w:rsidR="00063471" w:rsidRDefault="00063471" w:rsidP="0006347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Fish Parade</w:t>
            </w:r>
          </w:p>
          <w:p w:rsidR="000A7692" w:rsidRPr="00EC1848" w:rsidRDefault="00063471" w:rsidP="0006347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Ceramics 3 – adding features</w:t>
            </w:r>
          </w:p>
        </w:tc>
        <w:tc>
          <w:tcPr>
            <w:tcW w:w="1790" w:type="dxa"/>
          </w:tcPr>
          <w:p w:rsidR="00063471" w:rsidRDefault="00063471" w:rsidP="0006347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Fish Parade</w:t>
            </w:r>
          </w:p>
          <w:p w:rsidR="000A7692" w:rsidRPr="00EC1848" w:rsidRDefault="00063471" w:rsidP="00063471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Ceramics paint experiments in books</w:t>
            </w:r>
          </w:p>
        </w:tc>
        <w:tc>
          <w:tcPr>
            <w:tcW w:w="1789" w:type="dxa"/>
          </w:tcPr>
          <w:p w:rsidR="00AD7A2F" w:rsidRDefault="00AD7A2F" w:rsidP="00AD7A2F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Fish Parade</w:t>
            </w:r>
          </w:p>
          <w:p w:rsidR="000A7692" w:rsidRPr="00EC1848" w:rsidRDefault="00AD7A2F" w:rsidP="00AD7A2F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Ceramics sculpture painting 1</w:t>
            </w:r>
          </w:p>
        </w:tc>
        <w:tc>
          <w:tcPr>
            <w:tcW w:w="1795" w:type="dxa"/>
          </w:tcPr>
          <w:p w:rsidR="00AD7A2F" w:rsidRDefault="00AD7A2F" w:rsidP="00AD7A2F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Fish Parade</w:t>
            </w:r>
          </w:p>
          <w:p w:rsidR="000A7692" w:rsidRPr="00EC1848" w:rsidRDefault="00AD7A2F" w:rsidP="00AD7A2F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Ceramics sculpture painting 2</w:t>
            </w:r>
          </w:p>
        </w:tc>
        <w:tc>
          <w:tcPr>
            <w:tcW w:w="1794" w:type="dxa"/>
          </w:tcPr>
          <w:p w:rsidR="000A769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8"/>
            </w:tblGrid>
            <w:tr w:rsidR="00AD7A2F" w:rsidTr="0085106C">
              <w:trPr>
                <w:trHeight w:val="220"/>
              </w:trPr>
              <w:tc>
                <w:tcPr>
                  <w:tcW w:w="0" w:type="auto"/>
                </w:tcPr>
                <w:p w:rsidR="00AD7A2F" w:rsidRDefault="00AD7A2F" w:rsidP="00AD7A2F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100% sheet Interim Assessment </w:t>
                  </w:r>
                </w:p>
                <w:p w:rsidR="00AD7A2F" w:rsidRDefault="00AD7A2F" w:rsidP="00AD7A2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AD7A2F" w:rsidTr="0085106C">
              <w:trPr>
                <w:trHeight w:val="220"/>
              </w:trPr>
              <w:tc>
                <w:tcPr>
                  <w:tcW w:w="0" w:type="auto"/>
                </w:tcPr>
                <w:p w:rsidR="00AD7A2F" w:rsidRDefault="00AD7A2F" w:rsidP="00AD7A2F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E21D9">
                    <w:rPr>
                      <w:sz w:val="20"/>
                    </w:rPr>
                    <w:t xml:space="preserve">Ceramics sculpture painting </w:t>
                  </w:r>
                  <w:r w:rsidR="00212C6C">
                    <w:rPr>
                      <w:sz w:val="20"/>
                    </w:rPr>
                    <w:t>yellow sheet.</w:t>
                  </w:r>
                </w:p>
              </w:tc>
            </w:tr>
          </w:tbl>
          <w:p w:rsidR="00AD7A2F" w:rsidRPr="00152CD2" w:rsidRDefault="00AD7A2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80" w:type="dxa"/>
          </w:tcPr>
          <w:p w:rsidR="000A769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:rsidR="00AD7A2F" w:rsidRDefault="00AD7A2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AD7A2F" w:rsidRDefault="00AD7A2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Ceramics sculpture painting 3 continued.</w:t>
            </w:r>
          </w:p>
          <w:p w:rsidR="00AD7A2F" w:rsidRPr="00AD7A2F" w:rsidRDefault="00AD7A2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A2F">
              <w:t xml:space="preserve">Adding black pen in Nikki de Saint </w:t>
            </w:r>
            <w:proofErr w:type="spellStart"/>
            <w:r w:rsidRPr="00AD7A2F">
              <w:t>Phalle</w:t>
            </w:r>
            <w:proofErr w:type="spellEnd"/>
            <w:r w:rsidRPr="00AD7A2F">
              <w:t xml:space="preserve"> style. </w:t>
            </w:r>
          </w:p>
        </w:tc>
      </w:tr>
      <w:tr w:rsidR="0046417D" w:rsidRPr="00EC1848" w:rsidTr="00BC6D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ED175C" w:rsidRDefault="00ED175C" w:rsidP="00ED175C">
            <w:pPr>
              <w:pStyle w:val="TTCTText"/>
            </w:pPr>
            <w:r>
              <w:t>3</w:t>
            </w:r>
          </w:p>
          <w:p w:rsidR="00ED175C" w:rsidRPr="00EC1848" w:rsidRDefault="00ED175C" w:rsidP="00ED175C">
            <w:pPr>
              <w:pStyle w:val="TTCTText"/>
            </w:pPr>
            <w:r>
              <w:t>9/1/23 – 3/3/23</w:t>
            </w:r>
          </w:p>
        </w:tc>
        <w:tc>
          <w:tcPr>
            <w:tcW w:w="1787" w:type="dxa"/>
          </w:tcPr>
          <w:p w:rsidR="00ED175C" w:rsidRDefault="00ED175C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7FF7">
              <w:rPr>
                <w:b/>
              </w:rPr>
              <w:t>Self Portrait</w:t>
            </w:r>
          </w:p>
          <w:p w:rsidR="00ED175C" w:rsidRDefault="00ED175C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F1A">
              <w:t>Introduction to portraits, proportions and guidelines</w:t>
            </w:r>
            <w:r>
              <w:t>. Drawing chin/head/hair outline.</w:t>
            </w:r>
          </w:p>
          <w:p w:rsidR="00CB594D" w:rsidRDefault="00CB594D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594D" w:rsidRDefault="00CB594D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B594D" w:rsidRPr="00E23F1A" w:rsidRDefault="00CB594D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</w:tcPr>
          <w:p w:rsidR="00ED175C" w:rsidRDefault="00ED175C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7FF7">
              <w:rPr>
                <w:b/>
              </w:rPr>
              <w:lastRenderedPageBreak/>
              <w:t>Self Portrait</w:t>
            </w:r>
          </w:p>
          <w:p w:rsidR="00ED175C" w:rsidRPr="00EC1848" w:rsidRDefault="00ED175C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Drawing eyes, nose, neck and lips</w:t>
            </w:r>
          </w:p>
        </w:tc>
        <w:tc>
          <w:tcPr>
            <w:tcW w:w="1789" w:type="dxa"/>
          </w:tcPr>
          <w:p w:rsidR="00ED175C" w:rsidRDefault="00ED175C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7FF7">
              <w:rPr>
                <w:b/>
              </w:rPr>
              <w:t>Self Portrait</w:t>
            </w:r>
          </w:p>
          <w:p w:rsidR="00ED175C" w:rsidRDefault="00ED175C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drawing and rub out guidelines.</w:t>
            </w:r>
          </w:p>
          <w:p w:rsidR="00ED175C" w:rsidRPr="00EC1848" w:rsidRDefault="00ED175C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Shading eyes and nose. Introduction to blending stumps and graded pencils.</w:t>
            </w:r>
          </w:p>
        </w:tc>
        <w:tc>
          <w:tcPr>
            <w:tcW w:w="1790" w:type="dxa"/>
          </w:tcPr>
          <w:p w:rsidR="00ED175C" w:rsidRDefault="00ED175C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7FF7">
              <w:rPr>
                <w:b/>
              </w:rPr>
              <w:t>Self Portrait</w:t>
            </w:r>
          </w:p>
          <w:p w:rsidR="00ED175C" w:rsidRPr="00EC1848" w:rsidRDefault="00ED175C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Shading skin and lips. Blending stumps and graded pencils.</w:t>
            </w:r>
          </w:p>
        </w:tc>
        <w:tc>
          <w:tcPr>
            <w:tcW w:w="1789" w:type="dxa"/>
          </w:tcPr>
          <w:p w:rsidR="000424F6" w:rsidRDefault="000424F6" w:rsidP="000424F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57FF7">
              <w:rPr>
                <w:b/>
              </w:rPr>
              <w:t>Self Portrait</w:t>
            </w:r>
          </w:p>
          <w:p w:rsidR="00ED175C" w:rsidRPr="00EC1848" w:rsidRDefault="000424F6" w:rsidP="000424F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Shading </w:t>
            </w:r>
            <w:r w:rsidR="00E94FA8">
              <w:t>hair – hair style, eyebrows and eyelashes.</w:t>
            </w:r>
          </w:p>
        </w:tc>
        <w:tc>
          <w:tcPr>
            <w:tcW w:w="1795" w:type="dxa"/>
          </w:tcPr>
          <w:p w:rsidR="00ED175C" w:rsidRDefault="00ED175C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  <w:p w:rsidR="00ED175C" w:rsidRDefault="00ED175C" w:rsidP="00ED175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100% sheet </w:t>
            </w:r>
            <w:r w:rsidR="006021D4">
              <w:rPr>
                <w:szCs w:val="20"/>
              </w:rPr>
              <w:t xml:space="preserve">Cumulative </w:t>
            </w:r>
            <w:r>
              <w:rPr>
                <w:szCs w:val="20"/>
              </w:rPr>
              <w:t xml:space="preserve">Assessment </w:t>
            </w:r>
          </w:p>
          <w:p w:rsidR="00212C6C" w:rsidRDefault="00212C6C" w:rsidP="00ED175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212C6C" w:rsidRDefault="00212C6C" w:rsidP="00ED175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Self portrait</w:t>
            </w:r>
            <w:proofErr w:type="spellEnd"/>
            <w:r>
              <w:rPr>
                <w:szCs w:val="20"/>
              </w:rPr>
              <w:t xml:space="preserve"> shading yellow sheet.</w:t>
            </w:r>
          </w:p>
          <w:p w:rsidR="00ED175C" w:rsidRPr="00152CD2" w:rsidRDefault="00ED175C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94" w:type="dxa"/>
          </w:tcPr>
          <w:p w:rsidR="00ED175C" w:rsidRDefault="00ED175C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:rsidR="00ED175C" w:rsidRDefault="00ED175C" w:rsidP="00ED175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E94FA8" w:rsidRPr="00E94FA8" w:rsidRDefault="00E94FA8" w:rsidP="00ED175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4FA8">
              <w:t xml:space="preserve">Refining </w:t>
            </w:r>
            <w:proofErr w:type="spellStart"/>
            <w:r w:rsidRPr="00E94FA8">
              <w:t>self portraits</w:t>
            </w:r>
            <w:proofErr w:type="spellEnd"/>
            <w:r w:rsidRPr="00E94FA8">
              <w:t xml:space="preserve"> – hair focus and 3D noses.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ED175C" w:rsidRPr="00EC1848" w:rsidRDefault="00ED175C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75C" w:rsidRPr="00EC1848" w:rsidTr="00BC6D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ED175C" w:rsidRDefault="00ED175C" w:rsidP="00ED175C">
            <w:pPr>
              <w:pStyle w:val="TTCTText"/>
            </w:pPr>
            <w:r>
              <w:t>4</w:t>
            </w:r>
          </w:p>
          <w:p w:rsidR="00ED175C" w:rsidRPr="00EC1848" w:rsidRDefault="00ED175C" w:rsidP="00ED175C">
            <w:pPr>
              <w:pStyle w:val="TTCTText"/>
            </w:pPr>
            <w:r>
              <w:t>6/3/23 – 12/5/23</w:t>
            </w:r>
          </w:p>
        </w:tc>
        <w:tc>
          <w:tcPr>
            <w:tcW w:w="1787" w:type="dxa"/>
          </w:tcPr>
          <w:p w:rsidR="00ED175C" w:rsidRDefault="00CB594D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594D">
              <w:rPr>
                <w:b/>
              </w:rPr>
              <w:t>Manga</w:t>
            </w:r>
          </w:p>
          <w:p w:rsidR="00CB594D" w:rsidRPr="00CB594D" w:rsidRDefault="00CB594D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F1A">
              <w:t xml:space="preserve">Introduction to </w:t>
            </w:r>
            <w:r>
              <w:t>Manga.</w:t>
            </w:r>
            <w:r w:rsidRPr="00E23F1A">
              <w:t xml:space="preserve"> </w:t>
            </w:r>
            <w:r>
              <w:t>P</w:t>
            </w:r>
            <w:r w:rsidRPr="00E23F1A">
              <w:t>roportions and guidelines</w:t>
            </w:r>
            <w:r>
              <w:t>. Eyes using symmetry/ tracing paper</w:t>
            </w:r>
          </w:p>
        </w:tc>
        <w:tc>
          <w:tcPr>
            <w:tcW w:w="1788" w:type="dxa"/>
          </w:tcPr>
          <w:p w:rsidR="00CB594D" w:rsidRDefault="00CB594D" w:rsidP="00CB594D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594D">
              <w:rPr>
                <w:b/>
              </w:rPr>
              <w:t>Manga</w:t>
            </w:r>
          </w:p>
          <w:p w:rsidR="00ED175C" w:rsidRPr="00EC1848" w:rsidRDefault="00CB594D" w:rsidP="00CB594D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drawing features – nose, mouth, hair, neck and shoulders as extension.</w:t>
            </w:r>
          </w:p>
        </w:tc>
        <w:tc>
          <w:tcPr>
            <w:tcW w:w="1789" w:type="dxa"/>
          </w:tcPr>
          <w:p w:rsidR="00CB594D" w:rsidRDefault="00CB594D" w:rsidP="00CB594D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594D">
              <w:rPr>
                <w:b/>
              </w:rPr>
              <w:t>Manga</w:t>
            </w:r>
          </w:p>
          <w:p w:rsidR="00ED175C" w:rsidRPr="00EC1848" w:rsidRDefault="00CB594D" w:rsidP="00CB594D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Tonal shading – Eyes and skin tones.</w:t>
            </w:r>
          </w:p>
        </w:tc>
        <w:tc>
          <w:tcPr>
            <w:tcW w:w="1790" w:type="dxa"/>
          </w:tcPr>
          <w:p w:rsidR="00A763D6" w:rsidRDefault="00A763D6" w:rsidP="00A763D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594D">
              <w:rPr>
                <w:b/>
              </w:rPr>
              <w:t>Manga</w:t>
            </w:r>
          </w:p>
          <w:p w:rsidR="00ED175C" w:rsidRDefault="00A763D6" w:rsidP="00A763D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Tonal shading – Mouth and hair.</w:t>
            </w:r>
          </w:p>
          <w:p w:rsidR="00A763D6" w:rsidRPr="00EC1848" w:rsidRDefault="00A763D6" w:rsidP="00A763D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refinements. Focus on darker tones and shadows on skin/hair.</w:t>
            </w:r>
          </w:p>
        </w:tc>
        <w:tc>
          <w:tcPr>
            <w:tcW w:w="1789" w:type="dxa"/>
          </w:tcPr>
          <w:p w:rsidR="00ED175C" w:rsidRPr="006867E5" w:rsidRDefault="006867E5" w:rsidP="00A763D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7E5">
              <w:rPr>
                <w:b/>
              </w:rPr>
              <w:t xml:space="preserve">Primary observation drawing </w:t>
            </w:r>
            <w:r w:rsidRPr="006867E5">
              <w:t>Preparation</w:t>
            </w:r>
          </w:p>
          <w:p w:rsidR="006867E5" w:rsidRPr="006867E5" w:rsidRDefault="006867E5" w:rsidP="00A763D6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67E5">
              <w:t>Cylinders and cuboids</w:t>
            </w:r>
            <w:r>
              <w:t xml:space="preserve">. Drawing liquorice </w:t>
            </w:r>
            <w:proofErr w:type="spellStart"/>
            <w:r>
              <w:t>allsorts</w:t>
            </w:r>
            <w:proofErr w:type="spellEnd"/>
            <w:r>
              <w:t xml:space="preserve"> sweets.</w:t>
            </w:r>
          </w:p>
        </w:tc>
        <w:tc>
          <w:tcPr>
            <w:tcW w:w="1795" w:type="dxa"/>
          </w:tcPr>
          <w:p w:rsidR="006867E5" w:rsidRDefault="006867E5" w:rsidP="006867E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7E5">
              <w:rPr>
                <w:b/>
              </w:rPr>
              <w:t xml:space="preserve">Primary observation drawing </w:t>
            </w:r>
          </w:p>
          <w:p w:rsidR="00ED175C" w:rsidRDefault="006867E5" w:rsidP="006867E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Refine drawing liquorice </w:t>
            </w:r>
            <w:proofErr w:type="spellStart"/>
            <w:r>
              <w:t>allsorts</w:t>
            </w:r>
            <w:proofErr w:type="spellEnd"/>
            <w:r>
              <w:t xml:space="preserve"> sweets.</w:t>
            </w:r>
          </w:p>
          <w:p w:rsidR="006867E5" w:rsidRPr="00EC1848" w:rsidRDefault="006867E5" w:rsidP="006867E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Tonal shading – pencil tone.</w:t>
            </w:r>
          </w:p>
        </w:tc>
        <w:tc>
          <w:tcPr>
            <w:tcW w:w="1794" w:type="dxa"/>
          </w:tcPr>
          <w:p w:rsidR="00ED175C" w:rsidRDefault="00ED175C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  <w:p w:rsidR="00ED175C" w:rsidRDefault="00ED175C" w:rsidP="00ED175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100% sheet Interim Assessment </w:t>
            </w:r>
          </w:p>
          <w:p w:rsidR="000F196C" w:rsidRDefault="000F196C" w:rsidP="00ED175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0F196C" w:rsidRDefault="00212C6C" w:rsidP="00ED175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Manga and primary observation yellow sheet.</w:t>
            </w:r>
          </w:p>
          <w:p w:rsidR="00ED175C" w:rsidRPr="00152CD2" w:rsidRDefault="00ED175C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780" w:type="dxa"/>
          </w:tcPr>
          <w:p w:rsidR="00ED175C" w:rsidRDefault="00ED175C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:rsidR="000F196C" w:rsidRDefault="000F196C" w:rsidP="00ED175C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  <w:p w:rsidR="006867E5" w:rsidRDefault="006867E5" w:rsidP="006867E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7E5">
              <w:rPr>
                <w:b/>
              </w:rPr>
              <w:t xml:space="preserve">Primary observation drawing </w:t>
            </w:r>
            <w:r>
              <w:rPr>
                <w:b/>
              </w:rPr>
              <w:t xml:space="preserve"> </w:t>
            </w:r>
          </w:p>
          <w:p w:rsidR="000F196C" w:rsidRPr="000F196C" w:rsidRDefault="006867E5" w:rsidP="006867E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Tonal shading focus – pencil tone/dark tones/highlights.</w:t>
            </w:r>
          </w:p>
        </w:tc>
      </w:tr>
      <w:tr w:rsidR="0046417D" w:rsidRPr="00EC1848" w:rsidTr="00BC6D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F17F83" w:rsidRDefault="00F17F83" w:rsidP="00F17F83">
            <w:pPr>
              <w:pStyle w:val="TTCTText"/>
            </w:pPr>
            <w:r>
              <w:t>5</w:t>
            </w:r>
          </w:p>
          <w:p w:rsidR="00F17F83" w:rsidRPr="00EC1848" w:rsidRDefault="00F17F83" w:rsidP="00F17F83">
            <w:pPr>
              <w:pStyle w:val="TTCTText"/>
            </w:pPr>
            <w:r>
              <w:t>15/5/23 – 3/7/23</w:t>
            </w:r>
          </w:p>
        </w:tc>
        <w:tc>
          <w:tcPr>
            <w:tcW w:w="1787" w:type="dxa"/>
          </w:tcPr>
          <w:p w:rsidR="00F17F83" w:rsidRDefault="00F17F83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Abstract Picasso</w:t>
            </w:r>
          </w:p>
          <w:p w:rsidR="00F17F83" w:rsidRPr="000F196C" w:rsidRDefault="00F17F83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96C">
              <w:t xml:space="preserve">Introduction to Pablo Picasso. </w:t>
            </w:r>
          </w:p>
          <w:p w:rsidR="00F17F83" w:rsidRPr="00EC1848" w:rsidRDefault="00F17F83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96C">
              <w:t>Fully draw out abstract head.</w:t>
            </w:r>
            <w:r>
              <w:rPr>
                <w:b/>
              </w:rPr>
              <w:t xml:space="preserve"> </w:t>
            </w:r>
            <w:r w:rsidRPr="00F17F83">
              <w:t>A3 size.</w:t>
            </w:r>
          </w:p>
        </w:tc>
        <w:tc>
          <w:tcPr>
            <w:tcW w:w="1788" w:type="dxa"/>
          </w:tcPr>
          <w:p w:rsidR="00F17F83" w:rsidRDefault="00F17F83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Abstract Picasso</w:t>
            </w:r>
          </w:p>
          <w:p w:rsidR="00F17F83" w:rsidRPr="00EC1848" w:rsidRDefault="00F17F83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96C">
              <w:t xml:space="preserve">Introduction to </w:t>
            </w:r>
            <w:r>
              <w:t>watercolours. Blending and block colours. Colour theory links.</w:t>
            </w:r>
          </w:p>
        </w:tc>
        <w:tc>
          <w:tcPr>
            <w:tcW w:w="1789" w:type="dxa"/>
          </w:tcPr>
          <w:p w:rsidR="00F17F83" w:rsidRPr="00F17F83" w:rsidRDefault="00F17F83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Abstract Picasso</w:t>
            </w:r>
          </w:p>
          <w:p w:rsidR="00F17F83" w:rsidRPr="00EC1848" w:rsidRDefault="00F17F83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96C">
              <w:t xml:space="preserve">Focus on watercolour skills </w:t>
            </w:r>
            <w:r>
              <w:t>–</w:t>
            </w:r>
            <w:r w:rsidRPr="000F196C">
              <w:t xml:space="preserve"> blending</w:t>
            </w:r>
            <w:r>
              <w:t xml:space="preserve"> and block colour </w:t>
            </w:r>
          </w:p>
        </w:tc>
        <w:tc>
          <w:tcPr>
            <w:tcW w:w="1790" w:type="dxa"/>
          </w:tcPr>
          <w:p w:rsidR="00F17F83" w:rsidRPr="00F17F83" w:rsidRDefault="00F17F83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Abstract Picasso</w:t>
            </w:r>
          </w:p>
          <w:p w:rsidR="00F17F83" w:rsidRPr="00EC1848" w:rsidRDefault="00F17F83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96C">
              <w:t>Focus on watercolour skills</w:t>
            </w:r>
            <w:r>
              <w:t xml:space="preserve"> -</w:t>
            </w:r>
            <w:r w:rsidRPr="000F196C">
              <w:t xml:space="preserve"> </w:t>
            </w:r>
            <w:r>
              <w:t>mark making for details, layering and patterns.</w:t>
            </w:r>
            <w:r w:rsidR="0046417D">
              <w:t xml:space="preserve"> Background to portrait.</w:t>
            </w:r>
          </w:p>
        </w:tc>
        <w:tc>
          <w:tcPr>
            <w:tcW w:w="1789" w:type="dxa"/>
          </w:tcPr>
          <w:p w:rsidR="00F17F83" w:rsidRPr="00F17F83" w:rsidRDefault="00E902AA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</w:t>
            </w:r>
            <w:r w:rsidR="00FC19FB">
              <w:rPr>
                <w:b/>
              </w:rPr>
              <w:t>incent Van Gogh</w:t>
            </w:r>
          </w:p>
          <w:p w:rsidR="00F17F83" w:rsidRPr="00EC1848" w:rsidRDefault="00FC19FB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96C">
              <w:t>watercolour skills</w:t>
            </w:r>
            <w:r>
              <w:t xml:space="preserve"> -</w:t>
            </w:r>
            <w:r w:rsidRPr="000F196C">
              <w:t xml:space="preserve"> </w:t>
            </w:r>
            <w:r>
              <w:t>mark making for direction and movement based on Starry Night.</w:t>
            </w:r>
          </w:p>
        </w:tc>
        <w:tc>
          <w:tcPr>
            <w:tcW w:w="1795" w:type="dxa"/>
          </w:tcPr>
          <w:p w:rsidR="00F17F83" w:rsidRDefault="00F17F83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  <w:p w:rsidR="00F17F83" w:rsidRDefault="00F17F83" w:rsidP="00F17F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100% sheet </w:t>
            </w:r>
            <w:r w:rsidR="006021D4">
              <w:rPr>
                <w:szCs w:val="20"/>
              </w:rPr>
              <w:t xml:space="preserve">Cumulative </w:t>
            </w:r>
            <w:r>
              <w:rPr>
                <w:szCs w:val="20"/>
              </w:rPr>
              <w:t xml:space="preserve">Assessment </w:t>
            </w:r>
          </w:p>
          <w:p w:rsidR="00FC19FB" w:rsidRDefault="00FC19FB" w:rsidP="00F17F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FC19FB" w:rsidRPr="00F17F83" w:rsidRDefault="00212C6C" w:rsidP="00F17F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Picasso and Van Gogh yellow sheet.</w:t>
            </w:r>
          </w:p>
        </w:tc>
        <w:tc>
          <w:tcPr>
            <w:tcW w:w="1794" w:type="dxa"/>
          </w:tcPr>
          <w:p w:rsidR="00F17F83" w:rsidRDefault="00F17F83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  <w:p w:rsidR="0046417D" w:rsidRDefault="0046417D" w:rsidP="00F17F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Picasso - Completing in black pen outlines.</w:t>
            </w:r>
          </w:p>
          <w:p w:rsidR="00F17F83" w:rsidRPr="006867E5" w:rsidRDefault="0046417D" w:rsidP="00F17F8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Van Gogh - </w:t>
            </w:r>
            <w:r w:rsidR="00085FB1" w:rsidRPr="006867E5">
              <w:t>Watercolour skills</w:t>
            </w:r>
            <w:r w:rsidR="006867E5">
              <w:t>.</w:t>
            </w:r>
            <w:r w:rsidR="00E966DF">
              <w:t xml:space="preserve"> Blending and mark making – line thickness skills.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F17F83" w:rsidRPr="00EC1848" w:rsidRDefault="00F17F83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7F83" w:rsidRPr="00EC1848" w:rsidTr="00BC6D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:rsidR="00F17F83" w:rsidRDefault="00F17F83" w:rsidP="00F17F83">
            <w:pPr>
              <w:pStyle w:val="TTCTText"/>
            </w:pPr>
            <w:r>
              <w:t>mini unit</w:t>
            </w:r>
          </w:p>
          <w:p w:rsidR="00F17F83" w:rsidRDefault="00F17F83" w:rsidP="00F17F83">
            <w:pPr>
              <w:pStyle w:val="TTCTText"/>
            </w:pPr>
            <w:r>
              <w:t>10/7/23 – 21/7/23</w:t>
            </w:r>
          </w:p>
        </w:tc>
        <w:tc>
          <w:tcPr>
            <w:tcW w:w="1787" w:type="dxa"/>
          </w:tcPr>
          <w:p w:rsidR="00F17F83" w:rsidRDefault="00E966DF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66DF">
              <w:rPr>
                <w:b/>
              </w:rPr>
              <w:t xml:space="preserve">Vince Lowe </w:t>
            </w:r>
          </w:p>
          <w:p w:rsidR="00E966DF" w:rsidRPr="00E966DF" w:rsidRDefault="00E966DF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6DF">
              <w:t>Introduction to continuous line drawing.</w:t>
            </w:r>
            <w:r>
              <w:t xml:space="preserve"> </w:t>
            </w:r>
            <w:r w:rsidR="00AA6863">
              <w:t xml:space="preserve">Portrait focus/pastiche of his work. </w:t>
            </w:r>
          </w:p>
        </w:tc>
        <w:tc>
          <w:tcPr>
            <w:tcW w:w="1788" w:type="dxa"/>
          </w:tcPr>
          <w:p w:rsidR="00E966DF" w:rsidRDefault="00E966DF" w:rsidP="00E966DF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66DF">
              <w:rPr>
                <w:b/>
              </w:rPr>
              <w:t xml:space="preserve">Vince Lowe </w:t>
            </w:r>
          </w:p>
          <w:p w:rsidR="00F17F83" w:rsidRDefault="00E966DF" w:rsidP="00E966DF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E966DF">
              <w:t>ontinuous line drawing</w:t>
            </w:r>
            <w:r>
              <w:t xml:space="preserve"> – object/person on their choice.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F17F83" w:rsidRDefault="00F17F83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F17F83" w:rsidRDefault="00F17F83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:rsidR="00F17F83" w:rsidRDefault="00F17F83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:rsidR="00F17F83" w:rsidRDefault="00F17F83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:rsidR="00F17F83" w:rsidRDefault="00F17F83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:rsidR="00F17F83" w:rsidRPr="00EC1848" w:rsidRDefault="00F17F83" w:rsidP="00F17F83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931B4" w:rsidRDefault="00F931B4" w:rsidP="00130829">
      <w:pPr>
        <w:pStyle w:val="TTCTText"/>
        <w:jc w:val="left"/>
      </w:pPr>
    </w:p>
    <w:p w:rsidR="00F931B4" w:rsidRDefault="00F931B4" w:rsidP="00130829">
      <w:pPr>
        <w:pStyle w:val="TTCTText"/>
        <w:jc w:val="left"/>
      </w:pPr>
    </w:p>
    <w:p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80" w:rsidRDefault="003C1280" w:rsidP="000D506B">
      <w:r>
        <w:separator/>
      </w:r>
    </w:p>
  </w:endnote>
  <w:endnote w:type="continuationSeparator" w:id="0">
    <w:p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73D066C" wp14:editId="5B2C43BC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B2910C8" wp14:editId="0175B349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80" w:rsidRDefault="003C1280" w:rsidP="000D506B">
      <w:r>
        <w:separator/>
      </w:r>
    </w:p>
  </w:footnote>
  <w:footnote w:type="continuationSeparator" w:id="0">
    <w:p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9B3459">
    <w:pPr>
      <w:pStyle w:val="Header"/>
    </w:pPr>
    <w:r>
      <w:rPr>
        <w:noProof/>
      </w:rPr>
      <w:pict w14:anchorId="6B610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Pr="00D60A43" w:rsidRDefault="009B3459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04A58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06B" w:rsidRDefault="009B3459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4C2F6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1F1B193E" wp14:editId="6DA4179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1DE"/>
    <w:multiLevelType w:val="hybridMultilevel"/>
    <w:tmpl w:val="8474F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4AAE"/>
    <w:multiLevelType w:val="hybridMultilevel"/>
    <w:tmpl w:val="8474F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26DD7"/>
    <w:multiLevelType w:val="multilevel"/>
    <w:tmpl w:val="9CC24C74"/>
    <w:numStyleLink w:val="TTCTBulletpoint"/>
  </w:abstractNum>
  <w:abstractNum w:abstractNumId="18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2"/>
  </w:num>
  <w:num w:numId="5">
    <w:abstractNumId w:val="25"/>
  </w:num>
  <w:num w:numId="6">
    <w:abstractNumId w:val="1"/>
  </w:num>
  <w:num w:numId="7">
    <w:abstractNumId w:val="20"/>
  </w:num>
  <w:num w:numId="8">
    <w:abstractNumId w:val="8"/>
  </w:num>
  <w:num w:numId="9">
    <w:abstractNumId w:val="9"/>
  </w:num>
  <w:num w:numId="10">
    <w:abstractNumId w:val="5"/>
  </w:num>
  <w:num w:numId="11">
    <w:abstractNumId w:val="21"/>
  </w:num>
  <w:num w:numId="12">
    <w:abstractNumId w:val="18"/>
  </w:num>
  <w:num w:numId="13">
    <w:abstractNumId w:val="6"/>
  </w:num>
  <w:num w:numId="14">
    <w:abstractNumId w:val="26"/>
  </w:num>
  <w:num w:numId="15">
    <w:abstractNumId w:val="10"/>
  </w:num>
  <w:num w:numId="16">
    <w:abstractNumId w:val="27"/>
  </w:num>
  <w:num w:numId="17">
    <w:abstractNumId w:val="16"/>
  </w:num>
  <w:num w:numId="18">
    <w:abstractNumId w:val="14"/>
  </w:num>
  <w:num w:numId="19">
    <w:abstractNumId w:val="13"/>
  </w:num>
  <w:num w:numId="20">
    <w:abstractNumId w:val="17"/>
  </w:num>
  <w:num w:numId="21">
    <w:abstractNumId w:val="12"/>
  </w:num>
  <w:num w:numId="22">
    <w:abstractNumId w:val="24"/>
  </w:num>
  <w:num w:numId="23">
    <w:abstractNumId w:val="23"/>
  </w:num>
  <w:num w:numId="24">
    <w:abstractNumId w:val="7"/>
  </w:num>
  <w:num w:numId="25">
    <w:abstractNumId w:val="11"/>
  </w:num>
  <w:num w:numId="26">
    <w:abstractNumId w:val="4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424F6"/>
    <w:rsid w:val="00051426"/>
    <w:rsid w:val="00063471"/>
    <w:rsid w:val="0007060B"/>
    <w:rsid w:val="00084966"/>
    <w:rsid w:val="00085FB1"/>
    <w:rsid w:val="000A7692"/>
    <w:rsid w:val="000D506B"/>
    <w:rsid w:val="000F196C"/>
    <w:rsid w:val="00130829"/>
    <w:rsid w:val="001377ED"/>
    <w:rsid w:val="00152CD2"/>
    <w:rsid w:val="00196BA8"/>
    <w:rsid w:val="001A3707"/>
    <w:rsid w:val="001F749A"/>
    <w:rsid w:val="002075F3"/>
    <w:rsid w:val="00212C6C"/>
    <w:rsid w:val="002B0F0E"/>
    <w:rsid w:val="00346A0A"/>
    <w:rsid w:val="003C1280"/>
    <w:rsid w:val="003E0EE8"/>
    <w:rsid w:val="003F478A"/>
    <w:rsid w:val="0046417D"/>
    <w:rsid w:val="004A25D1"/>
    <w:rsid w:val="004B4115"/>
    <w:rsid w:val="004F0306"/>
    <w:rsid w:val="004F1DE5"/>
    <w:rsid w:val="00587AED"/>
    <w:rsid w:val="005A3E41"/>
    <w:rsid w:val="006021D4"/>
    <w:rsid w:val="00641163"/>
    <w:rsid w:val="00656B04"/>
    <w:rsid w:val="0068616B"/>
    <w:rsid w:val="006867E5"/>
    <w:rsid w:val="006966ED"/>
    <w:rsid w:val="006C4971"/>
    <w:rsid w:val="00736174"/>
    <w:rsid w:val="00747994"/>
    <w:rsid w:val="00782AA0"/>
    <w:rsid w:val="007A178B"/>
    <w:rsid w:val="007B292B"/>
    <w:rsid w:val="007C22FB"/>
    <w:rsid w:val="007E549A"/>
    <w:rsid w:val="00812E5B"/>
    <w:rsid w:val="00857941"/>
    <w:rsid w:val="008B05FD"/>
    <w:rsid w:val="008D3DA2"/>
    <w:rsid w:val="008E3C90"/>
    <w:rsid w:val="0093212C"/>
    <w:rsid w:val="009372D2"/>
    <w:rsid w:val="00953AC8"/>
    <w:rsid w:val="00955925"/>
    <w:rsid w:val="00991DD1"/>
    <w:rsid w:val="009B3459"/>
    <w:rsid w:val="009E7F43"/>
    <w:rsid w:val="009F4176"/>
    <w:rsid w:val="00A763D6"/>
    <w:rsid w:val="00A93C05"/>
    <w:rsid w:val="00AA6863"/>
    <w:rsid w:val="00AD7A2F"/>
    <w:rsid w:val="00BB5F4F"/>
    <w:rsid w:val="00BC6D60"/>
    <w:rsid w:val="00CB594D"/>
    <w:rsid w:val="00D05C9D"/>
    <w:rsid w:val="00D10572"/>
    <w:rsid w:val="00D3547D"/>
    <w:rsid w:val="00D44EB5"/>
    <w:rsid w:val="00D51EE7"/>
    <w:rsid w:val="00D57FF7"/>
    <w:rsid w:val="00D60A43"/>
    <w:rsid w:val="00D708F5"/>
    <w:rsid w:val="00D86F01"/>
    <w:rsid w:val="00DA2FA9"/>
    <w:rsid w:val="00DE1B48"/>
    <w:rsid w:val="00E21ABE"/>
    <w:rsid w:val="00E23F1A"/>
    <w:rsid w:val="00E34F62"/>
    <w:rsid w:val="00E566EB"/>
    <w:rsid w:val="00E902AA"/>
    <w:rsid w:val="00E94FA8"/>
    <w:rsid w:val="00E95176"/>
    <w:rsid w:val="00E966DF"/>
    <w:rsid w:val="00EA0EFF"/>
    <w:rsid w:val="00EC1848"/>
    <w:rsid w:val="00ED175C"/>
    <w:rsid w:val="00F02AD0"/>
    <w:rsid w:val="00F17F83"/>
    <w:rsid w:val="00F3491A"/>
    <w:rsid w:val="00F64939"/>
    <w:rsid w:val="00F90D64"/>
    <w:rsid w:val="00F931B4"/>
    <w:rsid w:val="00FC19FB"/>
    <w:rsid w:val="00FE21D9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99DC68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  <w:style w:type="paragraph" w:customStyle="1" w:styleId="Default">
    <w:name w:val="Default"/>
    <w:rsid w:val="005A3E41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526A8B0A0D042864122F12F0B0927" ma:contentTypeVersion="12" ma:contentTypeDescription="Create a new document." ma:contentTypeScope="" ma:versionID="296a23d7dab3f4d9c479b7a5a48ca25f">
  <xsd:schema xmlns:xsd="http://www.w3.org/2001/XMLSchema" xmlns:xs="http://www.w3.org/2001/XMLSchema" xmlns:p="http://schemas.microsoft.com/office/2006/metadata/properties" xmlns:ns2="89f6b0df-5689-439a-8cff-91119d3822c1" xmlns:ns3="83a8fa72-03ac-4f31-9311-77813938c9e3" targetNamespace="http://schemas.microsoft.com/office/2006/metadata/properties" ma:root="true" ma:fieldsID="8acc040c990544b513bab0fc40432272" ns2:_="" ns3:_="">
    <xsd:import namespace="89f6b0df-5689-439a-8cff-91119d3822c1"/>
    <xsd:import namespace="83a8fa72-03ac-4f31-9311-77813938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b0df-5689-439a-8cff-91119d382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fa72-03ac-4f31-9311-77813938c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86F14-BAC5-4647-BB10-3EBA44B3C581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83a8fa72-03ac-4f31-9311-77813938c9e3"/>
    <ds:schemaRef ds:uri="89f6b0df-5689-439a-8cff-91119d3822c1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2E07A3D-2637-41E8-AA63-A5F202BE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b0df-5689-439a-8cff-91119d3822c1"/>
    <ds:schemaRef ds:uri="83a8fa72-03ac-4f31-9311-77813938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6</cp:revision>
  <cp:lastPrinted>2022-06-06T08:43:00Z</cp:lastPrinted>
  <dcterms:created xsi:type="dcterms:W3CDTF">2022-06-05T20:56:00Z</dcterms:created>
  <dcterms:modified xsi:type="dcterms:W3CDTF">2023-09-09T10:42:00Z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0x010100D20526A8B0A0D042864122F12F0B0927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